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FE26C6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May 8, 2019</w:t>
      </w:r>
    </w:p>
    <w:p w:rsidR="00F96001" w:rsidRPr="00F96001" w:rsidRDefault="00F96001" w:rsidP="00D80B86">
      <w:pPr>
        <w:pStyle w:val="Heading1"/>
        <w:spacing w:line="240" w:lineRule="auto"/>
        <w:jc w:val="center"/>
        <w:rPr>
          <w:rFonts w:cs="Arial"/>
          <w:spacing w:val="-1"/>
          <w:sz w:val="18"/>
          <w:szCs w:val="18"/>
        </w:rPr>
      </w:pPr>
    </w:p>
    <w:p w:rsidR="00AC4221" w:rsidRDefault="00103975" w:rsidP="00F96001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8B1DC6">
        <w:rPr>
          <w:rFonts w:cs="Arial"/>
          <w:spacing w:val="-1"/>
          <w:sz w:val="26"/>
          <w:szCs w:val="26"/>
        </w:rPr>
        <w:t>ONE</w:t>
      </w:r>
    </w:p>
    <w:p w:rsidR="00F96001" w:rsidRPr="00F96001" w:rsidRDefault="00F96001" w:rsidP="00F96001"/>
    <w:p w:rsidR="00103975" w:rsidRPr="003307E7" w:rsidRDefault="00E50CC1" w:rsidP="00D80B86">
      <w:pPr>
        <w:jc w:val="center"/>
        <w:rPr>
          <w:rFonts w:cs="Arial"/>
          <w:b/>
          <w:spacing w:val="-1"/>
          <w:sz w:val="26"/>
          <w:szCs w:val="26"/>
        </w:rPr>
      </w:pPr>
      <w:r>
        <w:rPr>
          <w:b/>
          <w:sz w:val="26"/>
          <w:szCs w:val="26"/>
        </w:rPr>
        <w:t>DELINQUENT TAX PROGRAM</w:t>
      </w:r>
    </w:p>
    <w:p w:rsidR="00103975" w:rsidRPr="003307E7" w:rsidRDefault="00FE26C6" w:rsidP="003307E7">
      <w:pPr>
        <w:spacing w:after="80" w:line="360" w:lineRule="auto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pacing w:val="-1"/>
          <w:sz w:val="26"/>
          <w:szCs w:val="26"/>
        </w:rPr>
        <w:t>REQUEST FOR QUALIFICATIONS</w:t>
      </w:r>
      <w:r>
        <w:rPr>
          <w:rFonts w:cs="Arial"/>
          <w:b/>
          <w:sz w:val="26"/>
          <w:szCs w:val="26"/>
        </w:rPr>
        <w:t xml:space="preserve"> 19Q-2179</w:t>
      </w:r>
    </w:p>
    <w:p w:rsidR="00103975" w:rsidRPr="00EF5CFF" w:rsidRDefault="00103975" w:rsidP="00452678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z w:val="24"/>
          <w:szCs w:val="24"/>
        </w:rPr>
      </w:pPr>
      <w:r w:rsidRPr="00EF5CFF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EF5CFF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FE26C6">
        <w:rPr>
          <w:rFonts w:cstheme="minorHAnsi"/>
          <w:i/>
          <w:color w:val="FF0000"/>
          <w:spacing w:val="-1"/>
          <w:sz w:val="24"/>
          <w:szCs w:val="24"/>
        </w:rPr>
        <w:t>icate on their Quote Form 19Q-2179</w:t>
      </w:r>
      <w:r w:rsidR="00A54EC6" w:rsidRPr="00EF5CFF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FE26C6">
        <w:rPr>
          <w:rFonts w:cstheme="minorHAnsi"/>
          <w:i/>
          <w:color w:val="FF0000"/>
          <w:spacing w:val="-1"/>
          <w:sz w:val="24"/>
          <w:szCs w:val="24"/>
        </w:rPr>
        <w:t>(Page 14</w:t>
      </w:r>
      <w:r w:rsidR="00C607A7" w:rsidRPr="00EF5CFF">
        <w:rPr>
          <w:rFonts w:cstheme="minorHAnsi"/>
          <w:i/>
          <w:color w:val="FF0000"/>
          <w:spacing w:val="-1"/>
          <w:sz w:val="24"/>
          <w:szCs w:val="24"/>
        </w:rPr>
        <w:t xml:space="preserve">) </w:t>
      </w:r>
      <w:r w:rsidR="00A54EC6" w:rsidRPr="00EF5CFF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 w:rsidRPr="00EF5CFF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EF5CFF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EF5CFF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Pr="00EF5CFF">
        <w:rPr>
          <w:rFonts w:cstheme="minorHAnsi"/>
          <w:spacing w:val="-1"/>
          <w:sz w:val="24"/>
          <w:szCs w:val="24"/>
        </w:rPr>
        <w:t>.</w:t>
      </w:r>
    </w:p>
    <w:p w:rsidR="00517F41" w:rsidRPr="00EF5CFF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  <w:r w:rsidRPr="00EF5CFF">
        <w:rPr>
          <w:rFonts w:cstheme="minorHAnsi"/>
          <w:spacing w:val="-1"/>
          <w:sz w:val="24"/>
          <w:szCs w:val="24"/>
        </w:rPr>
        <w:t>Any</w:t>
      </w:r>
      <w:r w:rsidRPr="00EF5CFF">
        <w:rPr>
          <w:rFonts w:cstheme="minorHAnsi"/>
          <w:spacing w:val="32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questions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should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z w:val="24"/>
          <w:szCs w:val="24"/>
        </w:rPr>
        <w:t>be</w:t>
      </w:r>
      <w:r w:rsidRPr="00EF5CFF">
        <w:rPr>
          <w:rFonts w:cstheme="minorHAnsi"/>
          <w:spacing w:val="35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directed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to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the</w:t>
      </w:r>
      <w:r w:rsidRPr="00EF5CFF">
        <w:rPr>
          <w:rFonts w:cstheme="minorHAnsi"/>
          <w:spacing w:val="35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Purchasing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Department,</w:t>
      </w:r>
      <w:r w:rsidRPr="00EF5CFF">
        <w:rPr>
          <w:rFonts w:cstheme="minorHAnsi"/>
          <w:spacing w:val="34"/>
          <w:sz w:val="24"/>
          <w:szCs w:val="24"/>
        </w:rPr>
        <w:t xml:space="preserve"> </w:t>
      </w:r>
      <w:r w:rsidRPr="00EF5CFF">
        <w:rPr>
          <w:rFonts w:cstheme="minorHAnsi"/>
          <w:spacing w:val="-2"/>
          <w:sz w:val="24"/>
          <w:szCs w:val="24"/>
        </w:rPr>
        <w:t>404</w:t>
      </w:r>
      <w:r w:rsidRPr="00EF5CFF">
        <w:rPr>
          <w:rFonts w:cstheme="minorHAnsi"/>
          <w:spacing w:val="36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Elm</w:t>
      </w:r>
      <w:r w:rsidRPr="00EF5CFF">
        <w:rPr>
          <w:rFonts w:cstheme="minorHAnsi"/>
          <w:spacing w:val="33"/>
          <w:sz w:val="24"/>
          <w:szCs w:val="24"/>
        </w:rPr>
        <w:t xml:space="preserve"> </w:t>
      </w:r>
      <w:r w:rsidRPr="00EF5CFF">
        <w:rPr>
          <w:rFonts w:cstheme="minorHAnsi"/>
          <w:sz w:val="24"/>
          <w:szCs w:val="24"/>
        </w:rPr>
        <w:t>Street,</w:t>
      </w:r>
      <w:r w:rsidRPr="00EF5CFF">
        <w:rPr>
          <w:rFonts w:cstheme="minorHAnsi"/>
          <w:spacing w:val="35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Room</w:t>
      </w:r>
      <w:r w:rsidRPr="00EF5CFF">
        <w:rPr>
          <w:rFonts w:cstheme="minorHAnsi"/>
          <w:spacing w:val="68"/>
          <w:sz w:val="24"/>
          <w:szCs w:val="24"/>
        </w:rPr>
        <w:t> </w:t>
      </w:r>
      <w:r w:rsidRPr="00EF5CFF">
        <w:rPr>
          <w:rFonts w:cstheme="minorHAnsi"/>
          <w:sz w:val="24"/>
          <w:szCs w:val="24"/>
        </w:rPr>
        <w:t>202,</w:t>
      </w:r>
      <w:r w:rsidRPr="00EF5CFF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EF5CFF">
        <w:rPr>
          <w:rFonts w:cstheme="minorHAnsi"/>
          <w:spacing w:val="-1"/>
          <w:sz w:val="24"/>
          <w:szCs w:val="24"/>
        </w:rPr>
        <w:t>Rockford</w:t>
      </w:r>
      <w:proofErr w:type="gramEnd"/>
      <w:r w:rsidRPr="00EF5CFF">
        <w:rPr>
          <w:rFonts w:cstheme="minorHAnsi"/>
          <w:spacing w:val="-1"/>
          <w:sz w:val="24"/>
          <w:szCs w:val="24"/>
        </w:rPr>
        <w:t>,</w:t>
      </w:r>
      <w:r w:rsidRPr="00EF5CFF">
        <w:rPr>
          <w:rFonts w:cstheme="minorHAnsi"/>
          <w:spacing w:val="53"/>
          <w:sz w:val="24"/>
          <w:szCs w:val="24"/>
        </w:rPr>
        <w:t xml:space="preserve"> </w:t>
      </w:r>
      <w:r w:rsidRPr="00EF5CFF">
        <w:rPr>
          <w:rFonts w:cstheme="minorHAnsi"/>
          <w:spacing w:val="-2"/>
          <w:sz w:val="24"/>
          <w:szCs w:val="24"/>
        </w:rPr>
        <w:t>IL</w:t>
      </w:r>
      <w:r w:rsidRPr="00EF5CFF">
        <w:rPr>
          <w:rFonts w:cstheme="minorHAnsi"/>
          <w:spacing w:val="54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61101</w:t>
      </w:r>
      <w:r w:rsidRPr="00EF5CFF">
        <w:rPr>
          <w:rFonts w:cstheme="minorHAnsi"/>
          <w:spacing w:val="52"/>
          <w:sz w:val="24"/>
          <w:szCs w:val="24"/>
        </w:rPr>
        <w:t xml:space="preserve"> </w:t>
      </w:r>
      <w:r w:rsidRPr="00EF5CFF">
        <w:rPr>
          <w:rFonts w:cstheme="minorHAnsi"/>
          <w:sz w:val="24"/>
          <w:szCs w:val="24"/>
        </w:rPr>
        <w:t>or</w:t>
      </w:r>
      <w:r w:rsidRPr="00EF5CFF">
        <w:rPr>
          <w:rFonts w:cstheme="minorHAnsi"/>
          <w:spacing w:val="51"/>
          <w:sz w:val="24"/>
          <w:szCs w:val="24"/>
        </w:rPr>
        <w:t xml:space="preserve"> </w:t>
      </w:r>
      <w:r w:rsidRPr="00EF5CFF">
        <w:rPr>
          <w:rFonts w:cstheme="minorHAnsi"/>
          <w:sz w:val="24"/>
          <w:szCs w:val="24"/>
        </w:rPr>
        <w:t>by</w:t>
      </w:r>
      <w:r w:rsidRPr="00EF5CFF">
        <w:rPr>
          <w:rFonts w:cstheme="minorHAnsi"/>
          <w:spacing w:val="49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telephone</w:t>
      </w:r>
      <w:r w:rsidRPr="00EF5CFF">
        <w:rPr>
          <w:rFonts w:cstheme="minorHAnsi"/>
          <w:spacing w:val="51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815-319-4380,</w:t>
      </w:r>
      <w:r w:rsidRPr="00EF5CFF">
        <w:rPr>
          <w:rFonts w:cstheme="minorHAnsi"/>
          <w:spacing w:val="50"/>
          <w:sz w:val="24"/>
          <w:szCs w:val="24"/>
        </w:rPr>
        <w:t xml:space="preserve"> </w:t>
      </w:r>
      <w:r w:rsidRPr="00EF5CFF">
        <w:rPr>
          <w:rFonts w:cstheme="minorHAnsi"/>
          <w:sz w:val="24"/>
          <w:szCs w:val="24"/>
        </w:rPr>
        <w:t>or</w:t>
      </w:r>
      <w:r w:rsidRPr="00EF5CFF">
        <w:rPr>
          <w:rFonts w:cstheme="minorHAnsi"/>
          <w:spacing w:val="51"/>
          <w:sz w:val="24"/>
          <w:szCs w:val="24"/>
        </w:rPr>
        <w:t xml:space="preserve"> </w:t>
      </w:r>
      <w:r w:rsidRPr="00EF5CFF">
        <w:rPr>
          <w:rFonts w:cstheme="minorHAnsi"/>
          <w:spacing w:val="-1"/>
          <w:sz w:val="24"/>
          <w:szCs w:val="24"/>
        </w:rPr>
        <w:t>email</w:t>
      </w:r>
      <w:r w:rsidRPr="00EF5CFF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EF5CFF">
          <w:rPr>
            <w:rStyle w:val="Hyperlink"/>
            <w:rFonts w:cstheme="minorHAnsi"/>
            <w:sz w:val="24"/>
            <w:szCs w:val="24"/>
          </w:rPr>
          <w:t>purchasing@wincoil.us</w:t>
        </w:r>
      </w:hyperlink>
      <w:r w:rsidRPr="00EF5CFF">
        <w:rPr>
          <w:rFonts w:cstheme="minorHAnsi"/>
          <w:spacing w:val="-1"/>
          <w:sz w:val="24"/>
          <w:szCs w:val="24"/>
        </w:rPr>
        <w:t>.</w:t>
      </w:r>
    </w:p>
    <w:p w:rsidR="00E230D0" w:rsidRDefault="00FE26C6" w:rsidP="00E230D0">
      <w:pPr>
        <w:spacing w:before="240" w:after="120"/>
        <w:ind w:firstLine="720"/>
        <w:jc w:val="both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RFQ</w:t>
      </w:r>
      <w:r w:rsidR="00E230D0" w:rsidRPr="00EF5CFF">
        <w:rPr>
          <w:rFonts w:asciiTheme="minorHAnsi" w:hAnsiTheme="minorHAnsi"/>
          <w:b/>
          <w:color w:val="FF0000"/>
          <w:sz w:val="24"/>
          <w:szCs w:val="24"/>
        </w:rPr>
        <w:t xml:space="preserve"> CORRECTIONS</w:t>
      </w:r>
    </w:p>
    <w:p w:rsidR="00E50CC1" w:rsidRPr="00E50CC1" w:rsidRDefault="00E50CC1" w:rsidP="00E230D0">
      <w:pPr>
        <w:spacing w:before="240" w:after="120"/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E50CC1">
        <w:rPr>
          <w:rFonts w:asciiTheme="minorHAnsi" w:hAnsiTheme="minorHAnsi"/>
          <w:b/>
          <w:sz w:val="24"/>
          <w:szCs w:val="24"/>
        </w:rPr>
        <w:t>INCORRECT WORDING BELOW;</w:t>
      </w:r>
    </w:p>
    <w:p w:rsidR="00FE26C6" w:rsidRDefault="00FE26C6" w:rsidP="00FE26C6">
      <w:pPr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before="1" w:line="244" w:lineRule="auto"/>
        <w:ind w:right="457"/>
        <w:jc w:val="both"/>
      </w:pPr>
      <w:r>
        <w:rPr>
          <w:rFonts w:asciiTheme="minorHAnsi" w:hAnsiTheme="minorHAnsi"/>
          <w:b/>
          <w:sz w:val="24"/>
          <w:szCs w:val="24"/>
        </w:rPr>
        <w:t>Page 10</w:t>
      </w:r>
      <w:r w:rsidR="00E230D0" w:rsidRPr="00EF5CFF">
        <w:rPr>
          <w:rFonts w:asciiTheme="minorHAnsi" w:hAnsiTheme="minorHAnsi"/>
          <w:b/>
          <w:sz w:val="24"/>
          <w:szCs w:val="24"/>
        </w:rPr>
        <w:t xml:space="preserve">- </w:t>
      </w:r>
      <w:r>
        <w:rPr>
          <w:rFonts w:asciiTheme="minorHAnsi" w:hAnsiTheme="minorHAnsi"/>
          <w:b/>
          <w:sz w:val="24"/>
          <w:szCs w:val="24"/>
        </w:rPr>
        <w:t>SCOPE OF SERVICES- NUMBER 6</w:t>
      </w:r>
      <w:proofErr w:type="gramStart"/>
      <w:r>
        <w:rPr>
          <w:rFonts w:asciiTheme="minorHAnsi" w:hAnsiTheme="minorHAnsi"/>
          <w:b/>
          <w:sz w:val="24"/>
          <w:szCs w:val="24"/>
        </w:rPr>
        <w:t>.-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FE26C6">
        <w:rPr>
          <w:sz w:val="24"/>
          <w:szCs w:val="24"/>
        </w:rPr>
        <w:t xml:space="preserve">Detailed proposal on compensation of the Agent. </w:t>
      </w:r>
      <w:proofErr w:type="gramStart"/>
      <w:r w:rsidRPr="00FE26C6">
        <w:rPr>
          <w:sz w:val="24"/>
          <w:szCs w:val="24"/>
        </w:rPr>
        <w:t xml:space="preserve">Direct </w:t>
      </w:r>
      <w:r w:rsidRPr="00FE26C6">
        <w:rPr>
          <w:sz w:val="24"/>
          <w:szCs w:val="24"/>
          <w:highlight w:val="yellow"/>
        </w:rPr>
        <w:t>expenses assignable to the tax sale certificates of purchase pursuant to Section 21-355 of the Illinois Property Tax Code will be paid by the County</w:t>
      </w:r>
      <w:r w:rsidRPr="00FE26C6">
        <w:rPr>
          <w:sz w:val="24"/>
          <w:szCs w:val="24"/>
        </w:rPr>
        <w:t xml:space="preserve"> through proceeds of property sold</w:t>
      </w:r>
      <w:proofErr w:type="gramEnd"/>
      <w:r w:rsidRPr="00FE26C6">
        <w:rPr>
          <w:sz w:val="24"/>
          <w:szCs w:val="24"/>
        </w:rPr>
        <w:t xml:space="preserve">.  All other expenses related to the program, including office business expenses, office supply expenses, salaries of employees, attorney fees, </w:t>
      </w:r>
      <w:r w:rsidRPr="00FE26C6">
        <w:rPr>
          <w:sz w:val="24"/>
          <w:szCs w:val="24"/>
          <w:highlight w:val="yellow"/>
        </w:rPr>
        <w:t>title searches</w:t>
      </w:r>
      <w:r w:rsidRPr="00FE26C6">
        <w:rPr>
          <w:sz w:val="24"/>
          <w:szCs w:val="24"/>
        </w:rPr>
        <w:t xml:space="preserve">, property inspections, and </w:t>
      </w:r>
      <w:proofErr w:type="gramStart"/>
      <w:r w:rsidRPr="00FE26C6">
        <w:rPr>
          <w:sz w:val="24"/>
          <w:szCs w:val="24"/>
        </w:rPr>
        <w:t>automobile expenses will be paid solely by the Agent</w:t>
      </w:r>
      <w:proofErr w:type="gramEnd"/>
      <w:r w:rsidRPr="00FE26C6">
        <w:rPr>
          <w:sz w:val="24"/>
          <w:szCs w:val="24"/>
        </w:rPr>
        <w:t>.</w:t>
      </w:r>
    </w:p>
    <w:p w:rsidR="00E230D0" w:rsidRPr="00FE26C6" w:rsidRDefault="00FE26C6" w:rsidP="00E230D0">
      <w:pPr>
        <w:pStyle w:val="ListParagraph"/>
        <w:spacing w:before="240" w:after="120"/>
        <w:jc w:val="both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THE CORRECT PARAGR</w:t>
      </w:r>
      <w:r w:rsidR="00E50CC1">
        <w:rPr>
          <w:rFonts w:asciiTheme="minorHAnsi" w:hAnsiTheme="minorHAnsi"/>
          <w:b/>
          <w:color w:val="FF0000"/>
          <w:sz w:val="24"/>
          <w:szCs w:val="24"/>
        </w:rPr>
        <w:t>APH SHOULD READ</w:t>
      </w:r>
      <w:proofErr w:type="gramStart"/>
      <w:r w:rsidR="00E50CC1">
        <w:rPr>
          <w:rFonts w:asciiTheme="minorHAnsi" w:hAnsiTheme="minorHAnsi"/>
          <w:b/>
          <w:color w:val="FF0000"/>
          <w:sz w:val="24"/>
          <w:szCs w:val="24"/>
        </w:rPr>
        <w:t>;</w:t>
      </w:r>
      <w:proofErr w:type="gramEnd"/>
    </w:p>
    <w:p w:rsidR="00576810" w:rsidRPr="00130DBB" w:rsidRDefault="00FE26C6" w:rsidP="00130DBB">
      <w:pPr>
        <w:pStyle w:val="ListParagraph"/>
        <w:spacing w:before="240" w:after="120"/>
        <w:jc w:val="both"/>
        <w:rPr>
          <w:rFonts w:asciiTheme="minorHAnsi" w:hAnsiTheme="minorHAnsi"/>
          <w:b/>
          <w:sz w:val="24"/>
          <w:szCs w:val="24"/>
        </w:rPr>
      </w:pPr>
      <w:r w:rsidRPr="00FE26C6">
        <w:rPr>
          <w:sz w:val="24"/>
          <w:szCs w:val="24"/>
        </w:rPr>
        <w:t xml:space="preserve">Detailed proposal on compensation of the Agent. </w:t>
      </w:r>
      <w:proofErr w:type="gramStart"/>
      <w:r w:rsidRPr="00FE26C6">
        <w:rPr>
          <w:sz w:val="24"/>
          <w:szCs w:val="24"/>
        </w:rPr>
        <w:t xml:space="preserve">Direct </w:t>
      </w:r>
      <w:r w:rsidRPr="005D250C">
        <w:rPr>
          <w:sz w:val="24"/>
          <w:szCs w:val="24"/>
          <w:highlight w:val="yellow"/>
        </w:rPr>
        <w:t>expenses assignable to the tax sale certificates of purchase pursuant to Section 21-355 of the Illinois Property Tax Code</w:t>
      </w:r>
      <w:r w:rsidRPr="005D250C">
        <w:rPr>
          <w:sz w:val="24"/>
          <w:szCs w:val="24"/>
          <w:highlight w:val="yellow"/>
        </w:rPr>
        <w:t xml:space="preserve">, </w:t>
      </w:r>
      <w:r w:rsidR="00130DBB" w:rsidRPr="005D250C">
        <w:rPr>
          <w:b/>
          <w:color w:val="FF0000"/>
          <w:sz w:val="24"/>
          <w:szCs w:val="24"/>
          <w:highlight w:val="yellow"/>
        </w:rPr>
        <w:t>EXCEPT FOR TITLE SEARCHES,</w:t>
      </w:r>
      <w:r w:rsidRPr="005D250C">
        <w:rPr>
          <w:sz w:val="24"/>
          <w:szCs w:val="24"/>
          <w:highlight w:val="yellow"/>
        </w:rPr>
        <w:t xml:space="preserve"> will be paid by the County </w:t>
      </w:r>
      <w:r w:rsidRPr="005D250C">
        <w:rPr>
          <w:sz w:val="24"/>
          <w:szCs w:val="24"/>
        </w:rPr>
        <w:t>through proceeds of property sold</w:t>
      </w:r>
      <w:proofErr w:type="gramEnd"/>
      <w:r w:rsidRPr="00FE26C6">
        <w:rPr>
          <w:sz w:val="24"/>
          <w:szCs w:val="24"/>
        </w:rPr>
        <w:t xml:space="preserve">.  All other expenses related to the program, including office business expenses, office supply expenses, salaries of employees, attorney fees, </w:t>
      </w:r>
      <w:r w:rsidRPr="00130DBB">
        <w:rPr>
          <w:sz w:val="24"/>
          <w:szCs w:val="24"/>
        </w:rPr>
        <w:t>title searches</w:t>
      </w:r>
      <w:r w:rsidRPr="00FE26C6">
        <w:rPr>
          <w:sz w:val="24"/>
          <w:szCs w:val="24"/>
        </w:rPr>
        <w:t xml:space="preserve">, property inspections, and </w:t>
      </w:r>
      <w:proofErr w:type="gramStart"/>
      <w:r w:rsidRPr="00FE26C6">
        <w:rPr>
          <w:sz w:val="24"/>
          <w:szCs w:val="24"/>
        </w:rPr>
        <w:t>automobile expenses will be paid solely by the Agent</w:t>
      </w:r>
      <w:proofErr w:type="gramEnd"/>
      <w:r w:rsidRPr="00FE26C6">
        <w:rPr>
          <w:sz w:val="24"/>
          <w:szCs w:val="24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EF5CFF" w:rsidTr="00E50CC1">
        <w:trPr>
          <w:trHeight w:val="90"/>
        </w:trPr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0D0" w:rsidRPr="00EF5CFF" w:rsidRDefault="001770D0" w:rsidP="007B1CC3">
            <w:pP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CC3" w:rsidRPr="00EF5CFF" w:rsidRDefault="007B1CC3" w:rsidP="007B1CC3">
            <w:pPr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B1CC3" w:rsidRPr="00F96001" w:rsidTr="00E50CC1">
        <w:trPr>
          <w:trHeight w:val="8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1CC3" w:rsidRPr="00F96001" w:rsidRDefault="007B1CC3" w:rsidP="007B1CC3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1CC3" w:rsidRPr="00F96001" w:rsidTr="00130DBB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F96001" w:rsidRDefault="007B1CC3" w:rsidP="00130D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F96001" w:rsidRDefault="007B1CC3" w:rsidP="00130D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F96001" w:rsidRDefault="007B1CC3" w:rsidP="00130DB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6ED2" w:rsidRPr="00AA6ED2" w:rsidTr="00E50CC1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130DB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130DB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130D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Pr="00AA6ED2" w:rsidRDefault="009D47F5" w:rsidP="00130D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 OF ADDENDUM ONE</w:t>
      </w:r>
    </w:p>
    <w:sectPr w:rsidR="00103975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98" w:rsidRDefault="00950E98" w:rsidP="005C37F4">
      <w:r>
        <w:separator/>
      </w:r>
    </w:p>
  </w:endnote>
  <w:endnote w:type="continuationSeparator" w:id="0">
    <w:p w:rsidR="00950E98" w:rsidRDefault="00950E98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>
      <w:t xml:space="preserve"> 1 -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E50CC1" w:rsidRPr="00E50CC1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98" w:rsidRDefault="00950E98" w:rsidP="005C37F4">
      <w:r>
        <w:separator/>
      </w:r>
    </w:p>
  </w:footnote>
  <w:footnote w:type="continuationSeparator" w:id="0">
    <w:p w:rsidR="00950E98" w:rsidRDefault="00950E98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32" w:hanging="356"/>
      </w:pPr>
      <w:rPr>
        <w:rFonts w:ascii="Arial" w:hAnsi="Arial" w:cs="Arial"/>
        <w:b w:val="0"/>
        <w:bCs w:val="0"/>
        <w:color w:val="0A0A0A"/>
        <w:w w:val="164"/>
        <w:sz w:val="21"/>
        <w:szCs w:val="21"/>
      </w:rPr>
    </w:lvl>
    <w:lvl w:ilvl="1">
      <w:numFmt w:val="bullet"/>
      <w:lvlText w:val="•"/>
      <w:lvlJc w:val="left"/>
      <w:pPr>
        <w:ind w:left="2498" w:hanging="356"/>
      </w:pPr>
    </w:lvl>
    <w:lvl w:ilvl="2">
      <w:numFmt w:val="bullet"/>
      <w:lvlText w:val="•"/>
      <w:lvlJc w:val="left"/>
      <w:pPr>
        <w:ind w:left="3363" w:hanging="356"/>
      </w:pPr>
    </w:lvl>
    <w:lvl w:ilvl="3">
      <w:numFmt w:val="bullet"/>
      <w:lvlText w:val="•"/>
      <w:lvlJc w:val="left"/>
      <w:pPr>
        <w:ind w:left="4228" w:hanging="356"/>
      </w:pPr>
    </w:lvl>
    <w:lvl w:ilvl="4">
      <w:numFmt w:val="bullet"/>
      <w:lvlText w:val="•"/>
      <w:lvlJc w:val="left"/>
      <w:pPr>
        <w:ind w:left="5094" w:hanging="356"/>
      </w:pPr>
    </w:lvl>
    <w:lvl w:ilvl="5">
      <w:numFmt w:val="bullet"/>
      <w:lvlText w:val="•"/>
      <w:lvlJc w:val="left"/>
      <w:pPr>
        <w:ind w:left="5959" w:hanging="356"/>
      </w:pPr>
    </w:lvl>
    <w:lvl w:ilvl="6">
      <w:numFmt w:val="bullet"/>
      <w:lvlText w:val="•"/>
      <w:lvlJc w:val="left"/>
      <w:pPr>
        <w:ind w:left="6825" w:hanging="356"/>
      </w:pPr>
    </w:lvl>
    <w:lvl w:ilvl="7">
      <w:numFmt w:val="bullet"/>
      <w:lvlText w:val="•"/>
      <w:lvlJc w:val="left"/>
      <w:pPr>
        <w:ind w:left="7690" w:hanging="356"/>
      </w:pPr>
    </w:lvl>
    <w:lvl w:ilvl="8">
      <w:numFmt w:val="bullet"/>
      <w:lvlText w:val="•"/>
      <w:lvlJc w:val="left"/>
      <w:pPr>
        <w:ind w:left="8556" w:hanging="356"/>
      </w:pPr>
    </w:lvl>
  </w:abstractNum>
  <w:abstractNum w:abstractNumId="1" w15:restartNumberingAfterBreak="0">
    <w:nsid w:val="1069352E"/>
    <w:multiLevelType w:val="hybridMultilevel"/>
    <w:tmpl w:val="4484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5F69"/>
    <w:multiLevelType w:val="hybridMultilevel"/>
    <w:tmpl w:val="E92A89EE"/>
    <w:lvl w:ilvl="0" w:tplc="11D457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7" w15:restartNumberingAfterBreak="0">
    <w:nsid w:val="397E44EB"/>
    <w:multiLevelType w:val="hybridMultilevel"/>
    <w:tmpl w:val="7A2AF8D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1E72"/>
    <w:multiLevelType w:val="hybridMultilevel"/>
    <w:tmpl w:val="6E7E3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C3F65"/>
    <w:multiLevelType w:val="hybridMultilevel"/>
    <w:tmpl w:val="A52E6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03C8"/>
    <w:multiLevelType w:val="hybridMultilevel"/>
    <w:tmpl w:val="94AAE4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27CD"/>
    <w:multiLevelType w:val="hybridMultilevel"/>
    <w:tmpl w:val="FBBE6C0A"/>
    <w:lvl w:ilvl="0" w:tplc="2B34E2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4B22"/>
    <w:multiLevelType w:val="hybridMultilevel"/>
    <w:tmpl w:val="845E70EE"/>
    <w:lvl w:ilvl="0" w:tplc="BC020E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B27B1"/>
    <w:multiLevelType w:val="hybridMultilevel"/>
    <w:tmpl w:val="F8B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619E6"/>
    <w:rsid w:val="000B412F"/>
    <w:rsid w:val="000D053B"/>
    <w:rsid w:val="00103975"/>
    <w:rsid w:val="00126ACA"/>
    <w:rsid w:val="00130DBB"/>
    <w:rsid w:val="001770D0"/>
    <w:rsid w:val="001A5896"/>
    <w:rsid w:val="001D1324"/>
    <w:rsid w:val="00212EEF"/>
    <w:rsid w:val="00213409"/>
    <w:rsid w:val="00234B6F"/>
    <w:rsid w:val="00244DA1"/>
    <w:rsid w:val="00257E87"/>
    <w:rsid w:val="002712B7"/>
    <w:rsid w:val="002719B5"/>
    <w:rsid w:val="003307E7"/>
    <w:rsid w:val="00381BCC"/>
    <w:rsid w:val="00383128"/>
    <w:rsid w:val="003C0BAA"/>
    <w:rsid w:val="003E3369"/>
    <w:rsid w:val="0040513F"/>
    <w:rsid w:val="00414C6E"/>
    <w:rsid w:val="00452678"/>
    <w:rsid w:val="00454DEF"/>
    <w:rsid w:val="004B5CAB"/>
    <w:rsid w:val="004B604E"/>
    <w:rsid w:val="004D3C3C"/>
    <w:rsid w:val="004E20FD"/>
    <w:rsid w:val="004F27F4"/>
    <w:rsid w:val="00517F41"/>
    <w:rsid w:val="00576810"/>
    <w:rsid w:val="005909EA"/>
    <w:rsid w:val="00592B73"/>
    <w:rsid w:val="005C37F4"/>
    <w:rsid w:val="005D207B"/>
    <w:rsid w:val="005D250C"/>
    <w:rsid w:val="005D6032"/>
    <w:rsid w:val="00666562"/>
    <w:rsid w:val="006743F2"/>
    <w:rsid w:val="00676916"/>
    <w:rsid w:val="00721F18"/>
    <w:rsid w:val="00727220"/>
    <w:rsid w:val="007353B5"/>
    <w:rsid w:val="007B1CC3"/>
    <w:rsid w:val="007C33E7"/>
    <w:rsid w:val="00826520"/>
    <w:rsid w:val="00863DC9"/>
    <w:rsid w:val="00865553"/>
    <w:rsid w:val="008A27CF"/>
    <w:rsid w:val="008B1DC6"/>
    <w:rsid w:val="008D35CB"/>
    <w:rsid w:val="008D76D6"/>
    <w:rsid w:val="008E78C0"/>
    <w:rsid w:val="00922745"/>
    <w:rsid w:val="00950E98"/>
    <w:rsid w:val="009954F0"/>
    <w:rsid w:val="009C6926"/>
    <w:rsid w:val="009D47F5"/>
    <w:rsid w:val="009F210B"/>
    <w:rsid w:val="00A54EC6"/>
    <w:rsid w:val="00AA6ED2"/>
    <w:rsid w:val="00AB5C92"/>
    <w:rsid w:val="00AC4221"/>
    <w:rsid w:val="00AD0D01"/>
    <w:rsid w:val="00AF5EED"/>
    <w:rsid w:val="00B02A9E"/>
    <w:rsid w:val="00B119AF"/>
    <w:rsid w:val="00B171CC"/>
    <w:rsid w:val="00B651EB"/>
    <w:rsid w:val="00BD75BF"/>
    <w:rsid w:val="00BF288C"/>
    <w:rsid w:val="00BF2A71"/>
    <w:rsid w:val="00BF5E16"/>
    <w:rsid w:val="00C1137C"/>
    <w:rsid w:val="00C607A7"/>
    <w:rsid w:val="00C620B2"/>
    <w:rsid w:val="00C91538"/>
    <w:rsid w:val="00CE26DA"/>
    <w:rsid w:val="00CF20A4"/>
    <w:rsid w:val="00D25551"/>
    <w:rsid w:val="00D6404E"/>
    <w:rsid w:val="00D80B86"/>
    <w:rsid w:val="00DC79E3"/>
    <w:rsid w:val="00DF0DFA"/>
    <w:rsid w:val="00E12723"/>
    <w:rsid w:val="00E230D0"/>
    <w:rsid w:val="00E50CC1"/>
    <w:rsid w:val="00ED5642"/>
    <w:rsid w:val="00EF5CFF"/>
    <w:rsid w:val="00F1588A"/>
    <w:rsid w:val="00F96001"/>
    <w:rsid w:val="00FA6511"/>
    <w:rsid w:val="00FE26C6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4577"/>
    <o:shapelayout v:ext="edit">
      <o:idmap v:ext="edit" data="1"/>
    </o:shapelayout>
  </w:shapeDefaults>
  <w:decimalSymbol w:val="."/>
  <w:listSeparator w:val=","/>
  <w14:docId w14:val="2F3B531C"/>
  <w15:docId w15:val="{C856CE0E-F59D-4022-AFDD-22AE425A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1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340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2</cp:revision>
  <cp:lastPrinted>2018-10-08T19:32:00Z</cp:lastPrinted>
  <dcterms:created xsi:type="dcterms:W3CDTF">2019-05-07T20:53:00Z</dcterms:created>
  <dcterms:modified xsi:type="dcterms:W3CDTF">2019-05-07T20:53:00Z</dcterms:modified>
</cp:coreProperties>
</file>